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Order a vignette for Slovenia: Instant Online Application - Avignette.com</w:t>
      </w:r>
    </w:p>
    <w:p>
      <w:pPr>
        <w:spacing w:after="360"/>
      </w:pPr>
      <w:r>
        <w:rPr>
          <w:rFonts w:ascii="Arial" w:hAnsi="Arial" w:eastAsia="Arial" w:cs="Arial"/>
          <w:color w:val="666666"/>
          <w:sz w:val="22"/>
          <w:szCs w:val="22"/>
          <w:i w:val="1"/>
          <w:iCs w:val="1"/>
        </w:rPr>
        <w:t xml:space="preserve">Meta Description: Get your Slovenia digital vignette. No waiting, easy application, and wide range of payment options for seamless travel on motorways.</w:t>
      </w:r>
    </w:p>
    <w:p>
      <w:pPr>
        <w:pStyle w:val="Heading2"/>
      </w:pPr>
      <w:bookmarkStart w:id="0" w:name="_Toc0"/>
      <w:r>
        <w:t>Slovenia’s E-Vignette Requirements</w:t>
      </w:r>
      <w:bookmarkEnd w:id="0"/>
    </w:p>
    <w:p>
      <w:pPr>
        <w:spacing w:after="200"/>
      </w:pPr>
      <w:r>
        <w:rPr>
          <w:rFonts w:ascii="Arial" w:hAnsi="Arial" w:eastAsia="Arial" w:cs="Arial"/>
          <w:sz w:val="22"/>
          <w:szCs w:val="22"/>
        </w:rPr>
        <w:t xml:space="preserve">In Slovenia, the use of motorways and expressways mandates the possession of an E-Vignette (known as E-Vinjeta) for vehicles weighing less than 3.5 tons. There’s no need for an additional vignette for caravans or trailers as long as their combined weight remains under this limit. For heavier vehicles exceeding 3.5 tons, a toll box system is employed. Conveniently, the digital vignette is associated with your vehicle’s registration number and can be effortlessly purchased online through Avignette.com using various payment methods, or a credit card. This streamlines the process, ensuring ease of access and compliance for motorists traversing Slovenia’s roads.</w:t>
      </w:r>
    </w:p>
    <w:p>
      <w:pPr>
        <w:pStyle w:val="Heading2"/>
      </w:pPr>
      <w:bookmarkStart w:id="1" w:name="_Toc1"/>
      <w:r>
        <w:t>Why is a Vignette Necessary in Slovenia?</w:t>
      </w:r>
      <w:bookmarkEnd w:id="1"/>
    </w:p>
    <w:p>
      <w:pPr>
        <w:spacing w:after="200"/>
      </w:pPr>
      <w:r>
        <w:rPr>
          <w:rFonts w:ascii="Arial" w:hAnsi="Arial" w:eastAsia="Arial" w:cs="Arial"/>
          <w:sz w:val="22"/>
          <w:szCs w:val="22"/>
        </w:rPr>
        <w:t xml:space="preserve">Slovenia utilizes the e-vignette system as a means to fund the upkeep and maintenance of its motorways. This approach ensures the continuous improvement and sustainability of road infrastructure, benefiting all road users.</w:t>
      </w:r>
    </w:p>
    <w:p>
      <w:pPr>
        <w:pStyle w:val="Heading2"/>
      </w:pPr>
      <w:bookmarkStart w:id="2" w:name="_Toc2"/>
      <w:r>
        <w:t>Is Slovenia’s Vignette Exclusively Digital?</w:t>
      </w:r>
      <w:bookmarkEnd w:id="2"/>
    </w:p>
    <w:p>
      <w:pPr>
        <w:spacing w:after="200"/>
      </w:pPr>
      <w:r>
        <w:rPr>
          <w:rFonts w:ascii="Arial" w:hAnsi="Arial" w:eastAsia="Arial" w:cs="Arial"/>
          <w:sz w:val="22"/>
          <w:szCs w:val="22"/>
        </w:rPr>
        <w:t xml:space="preserve">Indeed, Slovenia has transitioned to a fully digital vignette system. Motorists no longer need to display a physical sticker on their vehicle’s windscreen, as the entire process is managed electronically for enhanced convenience and efficiency.</w:t>
      </w:r>
    </w:p>
    <w:p>
      <w:pPr>
        <w:pStyle w:val="Heading2"/>
      </w:pPr>
      <w:bookmarkStart w:id="3" w:name="_Toc3"/>
      <w:r>
        <w:t>How Does Slovenia’s Digital Vignette Function?</w:t>
      </w:r>
      <w:bookmarkEnd w:id="3"/>
    </w:p>
    <w:p>
      <w:pPr>
        <w:spacing w:after="200"/>
      </w:pPr>
      <w:r>
        <w:rPr>
          <w:rFonts w:ascii="Arial" w:hAnsi="Arial" w:eastAsia="Arial" w:cs="Arial"/>
          <w:sz w:val="22"/>
          <w:szCs w:val="22"/>
        </w:rPr>
        <w:t xml:space="preserve">Upon purchase, your vehicle’s registration number is instantly recorded in Slovenia’s central database managed by DARS (Slovenian Motorway Company). This database is integral to the enforcement of the vignette system, ensuring compliance and facilitating the issuance of digital vignettes.</w:t>
      </w:r>
    </w:p>
    <w:p>
      <w:pPr>
        <w:pStyle w:val="Heading2"/>
      </w:pPr>
      <w:bookmarkStart w:id="4" w:name="_Toc4"/>
      <w:r>
        <w:t>Which Roads in Slovenia Require a Vignette?</w:t>
      </w:r>
      <w:bookmarkEnd w:id="4"/>
    </w:p>
    <w:p>
      <w:pPr>
        <w:spacing w:after="200"/>
      </w:pPr>
      <w:r>
        <w:rPr>
          <w:rFonts w:ascii="Arial" w:hAnsi="Arial" w:eastAsia="Arial" w:cs="Arial"/>
          <w:sz w:val="22"/>
          <w:szCs w:val="22"/>
        </w:rPr>
        <w:t xml:space="preserve">In Slovenia, a vignette is required for the vast majority of motorways. This includes all roads marked with an “A” (for Autoput, or Motorway) and “H” (for Hitra cesta, or Expressway), signifying their status as toll roads. To travel on these roads, possessing a valid e-vignette is mandatory.</w:t>
      </w:r>
    </w:p>
    <w:p>
      <w:pPr>
        <w:pStyle w:val="Heading3"/>
      </w:pPr>
      <w:bookmarkStart w:id="5" w:name="_Toc5"/>
      <w:r>
        <w:t>Motorways (Avtoceste)</w:t>
      </w:r>
      <w:bookmarkEnd w:id="5"/>
    </w:p>
    <w:p>
      <w:pPr>
        <w:spacing w:after="200"/>
      </w:pPr>
      <w:r>
        <w:rPr>
          <w:rFonts w:ascii="Arial" w:hAnsi="Arial" w:eastAsia="Arial" w:cs="Arial"/>
          <w:sz w:val="22"/>
          <w:szCs w:val="22"/>
        </w:rPr>
        <w:t xml:space="preserve">You will require an electronic vignette for the following motorways:</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Motorway</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Distance (km)</w:t>
            </w:r>
          </w:p>
        </w:tc>
      </w:tr>
      <w:tr>
        <w:trPr/>
        <w:tc>
          <w:tcPr>
            <w:vAlign w:val="center"/>
            <w:shd w:val="clear"/>
            <w:noWrap/>
          </w:tcPr>
          <w:p>
            <w:pPr>
              <w:spacing w:before="0" w:after="0"/>
            </w:pPr>
            <w:r>
              <w:rPr>
                <w:rFonts w:ascii="Arial" w:hAnsi="Arial" w:eastAsia="Arial" w:cs="Arial"/>
                <w:sz w:val="20"/>
                <w:szCs w:val="20"/>
                <w:b w:val="0"/>
                <w:bCs w:val="0"/>
              </w:rPr>
              <w:t xml:space="preserve">A1</w:t>
            </w:r>
          </w:p>
        </w:tc>
        <w:tc>
          <w:tcPr>
            <w:vAlign w:val="center"/>
            <w:shd w:val="clear"/>
            <w:noWrap/>
          </w:tcPr>
          <w:p>
            <w:pPr>
              <w:spacing w:before="0" w:after="0"/>
            </w:pPr>
            <w:r>
              <w:rPr>
                <w:rFonts w:ascii="Arial" w:hAnsi="Arial" w:eastAsia="Arial" w:cs="Arial"/>
                <w:sz w:val="20"/>
                <w:szCs w:val="20"/>
                <w:b w:val="0"/>
                <w:bCs w:val="0"/>
              </w:rPr>
              <w:t xml:space="preserve">Šentilj (Austrian border) – Maribor – Celje – Ljubljana – Postojna – Koper</w:t>
            </w:r>
          </w:p>
        </w:tc>
        <w:tc>
          <w:tcPr>
            <w:vAlign w:val="center"/>
            <w:shd w:val="clear"/>
            <w:noWrap/>
          </w:tcPr>
          <w:p>
            <w:pPr>
              <w:spacing w:before="0" w:after="0"/>
            </w:pPr>
            <w:r>
              <w:rPr>
                <w:rFonts w:ascii="Arial" w:hAnsi="Arial" w:eastAsia="Arial" w:cs="Arial"/>
                <w:sz w:val="20"/>
                <w:szCs w:val="20"/>
                <w:b w:val="0"/>
                <w:bCs w:val="0"/>
              </w:rPr>
              <w:t xml:space="preserve">241.4</w:t>
            </w:r>
          </w:p>
        </w:tc>
      </w:tr>
      <w:tr>
        <w:trPr/>
        <w:tc>
          <w:tcPr>
            <w:vAlign w:val="center"/>
            <w:shd w:val="clear"/>
            <w:noWrap/>
          </w:tcPr>
          <w:p>
            <w:pPr>
              <w:spacing w:before="0" w:after="0"/>
            </w:pPr>
            <w:r>
              <w:rPr>
                <w:rFonts w:ascii="Arial" w:hAnsi="Arial" w:eastAsia="Arial" w:cs="Arial"/>
                <w:sz w:val="20"/>
                <w:szCs w:val="20"/>
                <w:b w:val="0"/>
                <w:bCs w:val="0"/>
              </w:rPr>
              <w:t xml:space="preserve">A2</w:t>
            </w:r>
          </w:p>
        </w:tc>
        <w:tc>
          <w:tcPr>
            <w:vAlign w:val="center"/>
            <w:shd w:val="clear"/>
            <w:noWrap/>
          </w:tcPr>
          <w:p>
            <w:pPr>
              <w:spacing w:before="0" w:after="0"/>
            </w:pPr>
            <w:r>
              <w:rPr>
                <w:rFonts w:ascii="Arial" w:hAnsi="Arial" w:eastAsia="Arial" w:cs="Arial"/>
                <w:sz w:val="20"/>
                <w:szCs w:val="20"/>
                <w:b w:val="0"/>
                <w:bCs w:val="0"/>
              </w:rPr>
              <w:t xml:space="preserve">Karawanken tunnel (toll road) – Kranj – Ljubljana – Novo mesto – Brežice – Obrežje</w:t>
            </w:r>
          </w:p>
        </w:tc>
        <w:tc>
          <w:tcPr>
            <w:vAlign w:val="center"/>
            <w:shd w:val="clear"/>
            <w:noWrap/>
          </w:tcPr>
          <w:p>
            <w:pPr>
              <w:spacing w:before="0" w:after="0"/>
            </w:pPr>
            <w:r>
              <w:rPr>
                <w:rFonts w:ascii="Arial" w:hAnsi="Arial" w:eastAsia="Arial" w:cs="Arial"/>
                <w:sz w:val="20"/>
                <w:szCs w:val="20"/>
                <w:b w:val="0"/>
                <w:bCs w:val="0"/>
              </w:rPr>
              <w:t xml:space="preserve">173.0</w:t>
            </w:r>
          </w:p>
        </w:tc>
      </w:tr>
      <w:tr>
        <w:trPr/>
        <w:tc>
          <w:tcPr>
            <w:vAlign w:val="center"/>
            <w:shd w:val="clear"/>
            <w:noWrap/>
          </w:tcPr>
          <w:p>
            <w:pPr>
              <w:spacing w:before="0" w:after="0"/>
            </w:pPr>
            <w:r>
              <w:rPr>
                <w:rFonts w:ascii="Arial" w:hAnsi="Arial" w:eastAsia="Arial" w:cs="Arial"/>
                <w:sz w:val="20"/>
                <w:szCs w:val="20"/>
                <w:b w:val="0"/>
                <w:bCs w:val="0"/>
              </w:rPr>
              <w:t xml:space="preserve">A3</w:t>
            </w:r>
          </w:p>
        </w:tc>
        <w:tc>
          <w:tcPr>
            <w:vAlign w:val="center"/>
            <w:shd w:val="clear"/>
            <w:noWrap/>
          </w:tcPr>
          <w:p>
            <w:pPr>
              <w:spacing w:before="0" w:after="0"/>
            </w:pPr>
            <w:r>
              <w:rPr>
                <w:rFonts w:ascii="Arial" w:hAnsi="Arial" w:eastAsia="Arial" w:cs="Arial"/>
                <w:sz w:val="20"/>
                <w:szCs w:val="20"/>
                <w:b w:val="0"/>
                <w:bCs w:val="0"/>
              </w:rPr>
              <w:t xml:space="preserve">Divača A1 – Fernetiči (Italian border) – RA14</w:t>
            </w:r>
          </w:p>
        </w:tc>
        <w:tc>
          <w:tcPr>
            <w:vAlign w:val="center"/>
            <w:shd w:val="clear"/>
            <w:noWrap/>
          </w:tcPr>
          <w:p>
            <w:pPr>
              <w:spacing w:before="0" w:after="0"/>
            </w:pPr>
            <w:r>
              <w:rPr>
                <w:rFonts w:ascii="Arial" w:hAnsi="Arial" w:eastAsia="Arial" w:cs="Arial"/>
                <w:sz w:val="20"/>
                <w:szCs w:val="20"/>
                <w:b w:val="0"/>
                <w:bCs w:val="0"/>
              </w:rPr>
              <w:t xml:space="preserve">11.7</w:t>
            </w:r>
          </w:p>
        </w:tc>
      </w:tr>
      <w:tr>
        <w:trPr/>
        <w:tc>
          <w:tcPr>
            <w:vAlign w:val="center"/>
            <w:shd w:val="clear"/>
            <w:noWrap/>
          </w:tcPr>
          <w:p>
            <w:pPr>
              <w:spacing w:before="0" w:after="0"/>
            </w:pPr>
            <w:r>
              <w:rPr>
                <w:rFonts w:ascii="Arial" w:hAnsi="Arial" w:eastAsia="Arial" w:cs="Arial"/>
                <w:sz w:val="20"/>
                <w:szCs w:val="20"/>
                <w:b w:val="0"/>
                <w:bCs w:val="0"/>
              </w:rPr>
              <w:t xml:space="preserve">A4</w:t>
            </w:r>
          </w:p>
        </w:tc>
        <w:tc>
          <w:tcPr>
            <w:vAlign w:val="center"/>
            <w:shd w:val="clear"/>
            <w:noWrap/>
          </w:tcPr>
          <w:p>
            <w:pPr>
              <w:spacing w:before="0" w:after="0"/>
            </w:pPr>
            <w:r>
              <w:rPr>
                <w:rFonts w:ascii="Arial" w:hAnsi="Arial" w:eastAsia="Arial" w:cs="Arial"/>
                <w:sz w:val="20"/>
                <w:szCs w:val="20"/>
                <w:b w:val="0"/>
                <w:bCs w:val="0"/>
              </w:rPr>
              <w:t xml:space="preserve">Slivnica – Hajdina – Draženci – Gruškovje (Croatian border)</w:t>
            </w:r>
          </w:p>
        </w:tc>
        <w:tc>
          <w:tcPr>
            <w:vAlign w:val="center"/>
            <w:shd w:val="clear"/>
            <w:noWrap/>
          </w:tcPr>
          <w:p>
            <w:pPr>
              <w:spacing w:before="0" w:after="0"/>
            </w:pPr>
            <w:r>
              <w:rPr>
                <w:rFonts w:ascii="Arial" w:hAnsi="Arial" w:eastAsia="Arial" w:cs="Arial"/>
                <w:sz w:val="20"/>
                <w:szCs w:val="20"/>
                <w:b w:val="0"/>
                <w:bCs w:val="0"/>
              </w:rPr>
              <w:t xml:space="preserve">33.7</w:t>
            </w:r>
          </w:p>
        </w:tc>
      </w:tr>
      <w:tr>
        <w:trPr/>
        <w:tc>
          <w:tcPr>
            <w:vAlign w:val="center"/>
            <w:shd w:val="clear"/>
            <w:noWrap/>
          </w:tcPr>
          <w:p>
            <w:pPr>
              <w:spacing w:before="0" w:after="0"/>
            </w:pPr>
            <w:r>
              <w:rPr>
                <w:rFonts w:ascii="Arial" w:hAnsi="Arial" w:eastAsia="Arial" w:cs="Arial"/>
                <w:sz w:val="20"/>
                <w:szCs w:val="20"/>
                <w:b w:val="0"/>
                <w:bCs w:val="0"/>
              </w:rPr>
              <w:t xml:space="preserve">A5</w:t>
            </w:r>
          </w:p>
        </w:tc>
        <w:tc>
          <w:tcPr>
            <w:vAlign w:val="center"/>
            <w:shd w:val="clear"/>
            <w:noWrap/>
          </w:tcPr>
          <w:p>
            <w:pPr>
              <w:spacing w:before="0" w:after="0"/>
            </w:pPr>
            <w:r>
              <w:rPr>
                <w:rFonts w:ascii="Arial" w:hAnsi="Arial" w:eastAsia="Arial" w:cs="Arial"/>
                <w:sz w:val="20"/>
                <w:szCs w:val="20"/>
                <w:b w:val="0"/>
                <w:bCs w:val="0"/>
              </w:rPr>
              <w:t xml:space="preserve">Dragučova – Beltinci – Murska Sobota – Pince (Hungarian border) – M70</w:t>
            </w:r>
          </w:p>
        </w:tc>
        <w:tc>
          <w:tcPr>
            <w:vAlign w:val="center"/>
            <w:shd w:val="clear"/>
            <w:noWrap/>
          </w:tcPr>
          <w:p>
            <w:pPr>
              <w:spacing w:before="0" w:after="0"/>
            </w:pPr>
            <w:r>
              <w:rPr>
                <w:rFonts w:ascii="Arial" w:hAnsi="Arial" w:eastAsia="Arial" w:cs="Arial"/>
                <w:sz w:val="20"/>
                <w:szCs w:val="20"/>
                <w:b w:val="0"/>
                <w:bCs w:val="0"/>
              </w:rPr>
              <w:t xml:space="preserve">80.9</w:t>
            </w:r>
          </w:p>
        </w:tc>
      </w:tr>
    </w:tbl>
    <w:p>
      <w:pPr>
        <w:pStyle w:val="Heading3"/>
      </w:pPr>
      <w:bookmarkStart w:id="6" w:name="_Toc6"/>
      <w:r>
        <w:t>Slovenia’s Expressways (Hitre Ceste) Requiring E-Vignettes</w:t>
      </w:r>
      <w:bookmarkEnd w:id="6"/>
    </w:p>
    <w:p>
      <w:pPr>
        <w:spacing w:after="200"/>
      </w:pPr>
      <w:r>
        <w:rPr>
          <w:rFonts w:ascii="Arial" w:hAnsi="Arial" w:eastAsia="Arial" w:cs="Arial"/>
          <w:sz w:val="22"/>
          <w:szCs w:val="22"/>
        </w:rPr>
        <w:t xml:space="preserve">In Slovenia, there are five regional expressways where a digital vignette is necessary. Over the years, the status of some roads has evolved, with some becoming motorways and others transitioning to regional roads. Here’s an overview:</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Expressway</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Distance (km)</w:t>
            </w:r>
          </w:p>
        </w:tc>
      </w:tr>
      <w:tr>
        <w:trPr/>
        <w:tc>
          <w:tcPr>
            <w:vAlign w:val="center"/>
            <w:shd w:val="clear"/>
            <w:noWrap/>
          </w:tcPr>
          <w:p>
            <w:pPr>
              <w:spacing w:before="0" w:after="0"/>
            </w:pPr>
            <w:r>
              <w:rPr>
                <w:rFonts w:ascii="Arial" w:hAnsi="Arial" w:eastAsia="Arial" w:cs="Arial"/>
                <w:sz w:val="20"/>
                <w:szCs w:val="20"/>
                <w:b w:val="0"/>
                <w:bCs w:val="0"/>
              </w:rPr>
              <w:t xml:space="preserve">H3</w:t>
            </w:r>
          </w:p>
        </w:tc>
        <w:tc>
          <w:tcPr>
            <w:vAlign w:val="center"/>
            <w:shd w:val="clear"/>
            <w:noWrap/>
          </w:tcPr>
          <w:p>
            <w:pPr>
              <w:spacing w:before="0" w:after="0"/>
            </w:pPr>
            <w:r>
              <w:rPr>
                <w:rFonts w:ascii="Arial" w:hAnsi="Arial" w:eastAsia="Arial" w:cs="Arial"/>
                <w:sz w:val="20"/>
                <w:szCs w:val="20"/>
                <w:b w:val="0"/>
                <w:bCs w:val="0"/>
              </w:rPr>
              <w:t xml:space="preserve">Section of the Ljubljana ring road, connecting A1 and A2</w:t>
            </w:r>
          </w:p>
        </w:tc>
        <w:tc>
          <w:tcPr>
            <w:vAlign w:val="center"/>
            <w:shd w:val="clear"/>
            <w:noWrap/>
          </w:tcPr>
          <w:p>
            <w:pPr>
              <w:spacing w:before="0" w:after="0"/>
            </w:pPr>
            <w:r>
              <w:rPr>
                <w:rFonts w:ascii="Arial" w:hAnsi="Arial" w:eastAsia="Arial" w:cs="Arial"/>
                <w:sz w:val="20"/>
                <w:szCs w:val="20"/>
                <w:b w:val="0"/>
                <w:bCs w:val="0"/>
              </w:rPr>
              <w:t xml:space="preserve">11.1</w:t>
            </w:r>
          </w:p>
        </w:tc>
      </w:tr>
      <w:tr>
        <w:trPr/>
        <w:tc>
          <w:tcPr>
            <w:vAlign w:val="center"/>
            <w:shd w:val="clear"/>
            <w:noWrap/>
          </w:tcPr>
          <w:p>
            <w:pPr>
              <w:spacing w:before="0" w:after="0"/>
            </w:pPr>
            <w:r>
              <w:rPr>
                <w:rFonts w:ascii="Arial" w:hAnsi="Arial" w:eastAsia="Arial" w:cs="Arial"/>
                <w:sz w:val="20"/>
                <w:szCs w:val="20"/>
                <w:b w:val="0"/>
                <w:bCs w:val="0"/>
              </w:rPr>
              <w:t xml:space="preserve">H4</w:t>
            </w:r>
          </w:p>
        </w:tc>
        <w:tc>
          <w:tcPr>
            <w:vAlign w:val="center"/>
            <w:shd w:val="clear"/>
            <w:noWrap/>
          </w:tcPr>
          <w:p>
            <w:pPr>
              <w:spacing w:before="0" w:after="0"/>
            </w:pPr>
            <w:r>
              <w:rPr>
                <w:rFonts w:ascii="Arial" w:hAnsi="Arial" w:eastAsia="Arial" w:cs="Arial"/>
                <w:sz w:val="20"/>
                <w:szCs w:val="20"/>
                <w:b w:val="0"/>
                <w:bCs w:val="0"/>
              </w:rPr>
              <w:t xml:space="preserve">Razdrto A1 – Nanos – Ajdovščina – Vrtojba (Italian border)</w:t>
            </w:r>
          </w:p>
        </w:tc>
        <w:tc>
          <w:tcPr>
            <w:vAlign w:val="center"/>
            <w:shd w:val="clear"/>
            <w:noWrap/>
          </w:tcPr>
          <w:p>
            <w:pPr>
              <w:spacing w:before="0" w:after="0"/>
            </w:pPr>
            <w:r>
              <w:rPr>
                <w:rFonts w:ascii="Arial" w:hAnsi="Arial" w:eastAsia="Arial" w:cs="Arial"/>
                <w:sz w:val="20"/>
                <w:szCs w:val="20"/>
                <w:b w:val="0"/>
                <w:bCs w:val="0"/>
              </w:rPr>
              <w:t xml:space="preserve">42.8</w:t>
            </w:r>
          </w:p>
        </w:tc>
      </w:tr>
      <w:tr>
        <w:trPr/>
        <w:tc>
          <w:tcPr>
            <w:vAlign w:val="center"/>
            <w:shd w:val="clear"/>
            <w:noWrap/>
          </w:tcPr>
          <w:p>
            <w:pPr>
              <w:spacing w:before="0" w:after="0"/>
            </w:pPr>
            <w:r>
              <w:rPr>
                <w:rFonts w:ascii="Arial" w:hAnsi="Arial" w:eastAsia="Arial" w:cs="Arial"/>
                <w:sz w:val="20"/>
                <w:szCs w:val="20"/>
                <w:b w:val="0"/>
                <w:bCs w:val="0"/>
              </w:rPr>
              <w:t xml:space="preserve">H5</w:t>
            </w:r>
          </w:p>
        </w:tc>
        <w:tc>
          <w:tcPr>
            <w:vAlign w:val="center"/>
            <w:shd w:val="clear"/>
            <w:noWrap/>
          </w:tcPr>
          <w:p>
            <w:pPr>
              <w:spacing w:before="0" w:after="0"/>
            </w:pPr>
            <w:r>
              <w:rPr>
                <w:rFonts w:ascii="Arial" w:hAnsi="Arial" w:eastAsia="Arial" w:cs="Arial"/>
                <w:sz w:val="20"/>
                <w:szCs w:val="20"/>
                <w:b w:val="0"/>
                <w:bCs w:val="0"/>
              </w:rPr>
              <w:t xml:space="preserve">Škofije (Italian border) – Dekani – Koper H6 – Dragonja (Croatian border) – A9</w:t>
            </w:r>
          </w:p>
        </w:tc>
        <w:tc>
          <w:tcPr>
            <w:vAlign w:val="center"/>
            <w:shd w:val="clear"/>
            <w:noWrap/>
          </w:tcPr>
          <w:p>
            <w:pPr>
              <w:spacing w:before="0" w:after="0"/>
            </w:pPr>
            <w:r>
              <w:rPr>
                <w:rFonts w:ascii="Arial" w:hAnsi="Arial" w:eastAsia="Arial" w:cs="Arial"/>
                <w:sz w:val="20"/>
                <w:szCs w:val="20"/>
                <w:b w:val="0"/>
                <w:bCs w:val="0"/>
              </w:rPr>
              <w:t xml:space="preserve">7.8</w:t>
            </w:r>
          </w:p>
        </w:tc>
      </w:tr>
      <w:tr>
        <w:trPr/>
        <w:tc>
          <w:tcPr>
            <w:vAlign w:val="center"/>
            <w:shd w:val="clear"/>
            <w:noWrap/>
          </w:tcPr>
          <w:p>
            <w:pPr>
              <w:spacing w:before="0" w:after="0"/>
            </w:pPr>
            <w:r>
              <w:rPr>
                <w:rFonts w:ascii="Arial" w:hAnsi="Arial" w:eastAsia="Arial" w:cs="Arial"/>
                <w:sz w:val="20"/>
                <w:szCs w:val="20"/>
                <w:b w:val="0"/>
                <w:bCs w:val="0"/>
              </w:rPr>
              <w:t xml:space="preserve">H6</w:t>
            </w:r>
          </w:p>
        </w:tc>
        <w:tc>
          <w:tcPr>
            <w:vAlign w:val="center"/>
            <w:shd w:val="clear"/>
            <w:noWrap/>
          </w:tcPr>
          <w:p>
            <w:pPr>
              <w:spacing w:before="0" w:after="0"/>
            </w:pPr>
            <w:r>
              <w:rPr>
                <w:rFonts w:ascii="Arial" w:hAnsi="Arial" w:eastAsia="Arial" w:cs="Arial"/>
                <w:sz w:val="20"/>
                <w:szCs w:val="20"/>
                <w:b w:val="0"/>
                <w:bCs w:val="0"/>
              </w:rPr>
              <w:t xml:space="preserve">Koper – Lucija – Portorož</w:t>
            </w:r>
          </w:p>
        </w:tc>
        <w:tc>
          <w:tcPr>
            <w:vAlign w:val="center"/>
            <w:shd w:val="clear"/>
            <w:noWrap/>
          </w:tcPr>
          <w:p>
            <w:pPr>
              <w:spacing w:before="0" w:after="0"/>
            </w:pPr>
            <w:r>
              <w:rPr>
                <w:rFonts w:ascii="Arial" w:hAnsi="Arial" w:eastAsia="Arial" w:cs="Arial"/>
                <w:sz w:val="20"/>
                <w:szCs w:val="20"/>
                <w:b w:val="0"/>
                <w:bCs w:val="0"/>
              </w:rPr>
              <w:t xml:space="preserve">5.4</w:t>
            </w:r>
          </w:p>
        </w:tc>
      </w:tr>
      <w:tr>
        <w:trPr/>
        <w:tc>
          <w:tcPr>
            <w:vAlign w:val="center"/>
            <w:shd w:val="clear"/>
            <w:noWrap/>
          </w:tcPr>
          <w:p>
            <w:pPr>
              <w:spacing w:before="0" w:after="0"/>
            </w:pPr>
            <w:r>
              <w:rPr>
                <w:rFonts w:ascii="Arial" w:hAnsi="Arial" w:eastAsia="Arial" w:cs="Arial"/>
                <w:sz w:val="20"/>
                <w:szCs w:val="20"/>
                <w:b w:val="0"/>
                <w:bCs w:val="0"/>
              </w:rPr>
              <w:t xml:space="preserve">H7</w:t>
            </w:r>
          </w:p>
        </w:tc>
        <w:tc>
          <w:tcPr>
            <w:vAlign w:val="center"/>
            <w:shd w:val="clear"/>
            <w:noWrap/>
          </w:tcPr>
          <w:p>
            <w:pPr>
              <w:spacing w:before="0" w:after="0"/>
            </w:pPr>
            <w:r>
              <w:rPr>
                <w:rFonts w:ascii="Arial" w:hAnsi="Arial" w:eastAsia="Arial" w:cs="Arial"/>
                <w:sz w:val="20"/>
                <w:szCs w:val="20"/>
                <w:b w:val="0"/>
                <w:bCs w:val="0"/>
              </w:rPr>
              <w:t xml:space="preserve">Črni dol A5 – Dolga vas (Hungarian border)</w:t>
            </w:r>
          </w:p>
        </w:tc>
        <w:tc>
          <w:tcPr>
            <w:vAlign w:val="center"/>
            <w:shd w:val="clear"/>
            <w:noWrap/>
          </w:tcPr>
          <w:p>
            <w:pPr>
              <w:spacing w:before="0" w:after="0"/>
            </w:pPr>
            <w:r>
              <w:rPr>
                <w:rFonts w:ascii="Arial" w:hAnsi="Arial" w:eastAsia="Arial" w:cs="Arial"/>
                <w:sz w:val="20"/>
                <w:szCs w:val="20"/>
                <w:b w:val="0"/>
                <w:bCs w:val="0"/>
              </w:rPr>
              <w:t xml:space="preserve">4.0</w:t>
            </w:r>
          </w:p>
        </w:tc>
      </w:tr>
    </w:tbl>
    <w:p>
      <w:pPr>
        <w:spacing w:after="200"/>
      </w:pPr>
      <w:r>
        <w:rPr>
          <w:rFonts w:ascii="Arial" w:hAnsi="Arial" w:eastAsia="Arial" w:cs="Arial"/>
          <w:sz w:val="22"/>
          <w:szCs w:val="22"/>
        </w:rPr>
        <w:t xml:space="preserve">This table provides a concise summary of the expressways in Slovenia for which an e-vignette is required, along with their respective routes and distances. For those traveling on these roads, ensuring you have the appropriate vignette is key for a smooth journey.</w:t>
      </w:r>
    </w:p>
    <w:p>
      <w:pPr>
        <w:spacing w:after="200"/>
      </w:pPr>
      <w:r>
        <w:rPr>
          <w:rFonts w:ascii="Arial" w:hAnsi="Arial" w:eastAsia="Arial" w:cs="Arial"/>
          <w:sz w:val="22"/>
          <w:szCs w:val="22"/>
        </w:rPr>
        <w:t xml:space="preserve"/>
      </w:r>
    </w:p>
    <w:p>
      <w:pPr>
        <w:pStyle w:val="Heading2"/>
      </w:pPr>
      <w:bookmarkStart w:id="7" w:name="_Toc7"/>
      <w:r>
        <w:t>Map toll roads</w:t>
      </w:r>
      <w:bookmarkEnd w:id="7"/>
    </w:p>
    <w:p>
      <w:pPr>
        <w:spacing w:after="200"/>
      </w:pPr>
      <w:r>
        <w:rPr>
          <w:rFonts w:ascii="Arial" w:hAnsi="Arial" w:eastAsia="Arial" w:cs="Arial"/>
          <w:sz w:val="22"/>
          <w:szCs w:val="22"/>
        </w:rPr>
        <w:t xml:space="preserve">Overview toll roads where an electronic vignette is mandatory:</w:t>
      </w:r>
    </w:p>
    <w:p>
      <w:pPr>
        <w:pStyle w:val="Heading2"/>
      </w:pPr>
      <w:bookmarkStart w:id="8" w:name="_Toc8"/>
      <w:r>
        <w:t>Karawanken Tunnel Toll Charges</w:t>
      </w:r>
      <w:bookmarkEnd w:id="8"/>
    </w:p>
    <w:p>
      <w:pPr>
        <w:spacing w:after="200"/>
      </w:pPr>
      <w:r>
        <w:rPr>
          <w:rFonts w:ascii="Arial" w:hAnsi="Arial" w:eastAsia="Arial" w:cs="Arial"/>
          <w:sz w:val="22"/>
          <w:szCs w:val="22"/>
        </w:rPr>
        <w:t xml:space="preserve">When </w:t>
      </w:r>
      <w:hyperlink r:id="rId7" w:history="1">
        <w:r>
          <w:rPr>
            <w:rFonts w:ascii="Arial" w:hAnsi="Arial" w:eastAsia="Arial" w:cs="Arial"/>
            <w:color w:val="0563C1"/>
            <w:sz w:val="22"/>
            <w:szCs w:val="22"/>
            <w:u w:val="single"/>
          </w:rPr>
          <w:t xml:space="preserve">traveling to Slovenia by car</w:t>
        </w:r>
      </w:hyperlink>
      <w:r>
        <w:rPr>
          <w:rFonts w:ascii="Arial" w:hAnsi="Arial" w:eastAsia="Arial" w:cs="Arial"/>
          <w:sz w:val="22"/>
          <w:szCs w:val="22"/>
        </w:rPr>
        <w:t xml:space="preserve"> via the Karawanken tunnel, it’s important to be aware of specific toll charges. Here’s what you need to know:</w:t>
      </w:r>
    </w:p>
    <w:p>
      <w:pPr>
        <w:spacing w:after="120"/>
        <w:numPr>
          <w:ilvl w:val="0"/>
          <w:numId w:val="7"/>
        </w:numPr>
      </w:pPr>
      <w:r>
        <w:rPr>
          <w:rFonts w:ascii="Arial" w:hAnsi="Arial" w:eastAsia="Arial" w:cs="Arial"/>
          <w:sz w:val="22"/>
          <w:szCs w:val="22"/>
          <w:b w:val="1"/>
          <w:bCs w:val="1"/>
        </w:rPr>
        <w:t xml:space="preserve">Separate Toll</w:t>
      </w:r>
      <w:r>
        <w:rPr>
          <w:rFonts w:ascii="Arial" w:hAnsi="Arial" w:eastAsia="Arial" w:cs="Arial"/>
          <w:sz w:val="22"/>
          <w:szCs w:val="22"/>
        </w:rPr>
        <w:t xml:space="preserve">: The toll charges for using the Karawanken tunnel are not covered by the standard Slovenian e-vignette. This means that even if you have a valid vignette for Slovenia’s motorways and expressways, the Karawanken tunnel requires an additional payment.</w:t>
      </w:r>
    </w:p>
    <w:p>
      <w:pPr>
        <w:spacing w:after="120"/>
        <w:numPr>
          <w:ilvl w:val="0"/>
          <w:numId w:val="7"/>
        </w:numPr>
      </w:pPr>
      <w:r>
        <w:rPr>
          <w:rFonts w:ascii="Arial" w:hAnsi="Arial" w:eastAsia="Arial" w:cs="Arial"/>
          <w:sz w:val="22"/>
          <w:szCs w:val="22"/>
          <w:b w:val="1"/>
          <w:bCs w:val="1"/>
        </w:rPr>
        <w:t xml:space="preserve">Payment Method</w:t>
      </w:r>
      <w:r>
        <w:rPr>
          <w:rFonts w:ascii="Arial" w:hAnsi="Arial" w:eastAsia="Arial" w:cs="Arial"/>
          <w:sz w:val="22"/>
          <w:szCs w:val="22"/>
        </w:rPr>
        <w:t xml:space="preserve">: Toll charges for the Karawanken tunnel are applicable per journey. This means you pay for each individual trip through the tunnel, separate from the vignette system.</w:t>
      </w:r>
    </w:p>
    <w:p>
      <w:pPr>
        <w:spacing w:after="200"/>
      </w:pPr>
      <w:r>
        <w:rPr>
          <w:rFonts w:ascii="Arial" w:hAnsi="Arial" w:eastAsia="Arial" w:cs="Arial"/>
          <w:sz w:val="22"/>
          <w:szCs w:val="22"/>
        </w:rPr>
        <w:t xml:space="preserve">We aim to keep you informed about all aspects of your travel in Slovenia, including specific toll roads like the Karawanken tunnel. Remember to plan for this additional toll charge when entering Slovenia through this route to ensure a hassle-free journey.</w:t>
      </w:r>
    </w:p>
    <w:p>
      <w:pPr>
        <w:pStyle w:val="Heading3"/>
      </w:pPr>
      <w:bookmarkStart w:id="9" w:name="_Toc9"/>
      <w:r>
        <w:t>Toll-Free Roads in Slovenia</w:t>
      </w:r>
      <w:bookmarkEnd w:id="9"/>
    </w:p>
    <w:p>
      <w:pPr>
        <w:spacing w:after="200"/>
      </w:pPr>
      <w:r>
        <w:rPr>
          <w:rFonts w:ascii="Arial" w:hAnsi="Arial" w:eastAsia="Arial" w:cs="Arial"/>
          <w:sz w:val="22"/>
          <w:szCs w:val="22"/>
        </w:rPr>
        <w:t xml:space="preserve">In Slovenia, certain regional roads are designated as toll-free, meaning you won’t need a vignette to travel on them. Here’s a summary presented in a table format:</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Regional Road</w:t>
            </w:r>
          </w:p>
        </w:tc>
        <w:tc>
          <w:tcPr>
            <w:vAlign w:val="center"/>
            <w:shd w:val="clear" w:fill="E8E8E8"/>
            <w:noWrap/>
          </w:tcPr>
          <w:p>
            <w:pPr>
              <w:spacing w:before="0" w:after="0"/>
            </w:pPr>
            <w:r>
              <w:rPr>
                <w:rFonts w:ascii="Arial" w:hAnsi="Arial" w:eastAsia="Arial" w:cs="Arial"/>
                <w:sz w:val="20"/>
                <w:szCs w:val="20"/>
                <w:b w:val="1"/>
                <w:bCs w:val="1"/>
              </w:rPr>
              <w:t xml:space="preserve">Description</w:t>
            </w:r>
          </w:p>
        </w:tc>
      </w:tr>
      <w:tr>
        <w:trPr/>
        <w:tc>
          <w:tcPr>
            <w:vAlign w:val="center"/>
            <w:shd w:val="clear"/>
            <w:noWrap/>
          </w:tcPr>
          <w:p>
            <w:pPr>
              <w:spacing w:before="0" w:after="0"/>
            </w:pPr>
            <w:r>
              <w:rPr>
                <w:rFonts w:ascii="Arial" w:hAnsi="Arial" w:eastAsia="Arial" w:cs="Arial"/>
                <w:sz w:val="20"/>
                <w:szCs w:val="20"/>
                <w:b w:val="0"/>
                <w:bCs w:val="0"/>
              </w:rPr>
              <w:t xml:space="preserve">A2</w:t>
            </w:r>
          </w:p>
        </w:tc>
        <w:tc>
          <w:tcPr>
            <w:vAlign w:val="center"/>
            <w:shd w:val="clear"/>
            <w:noWrap/>
          </w:tcPr>
          <w:p>
            <w:pPr>
              <w:spacing w:before="0" w:after="0"/>
            </w:pPr>
            <w:r>
              <w:rPr>
                <w:rFonts w:ascii="Arial" w:hAnsi="Arial" w:eastAsia="Arial" w:cs="Arial"/>
                <w:sz w:val="20"/>
                <w:szCs w:val="20"/>
                <w:b w:val="0"/>
                <w:bCs w:val="0"/>
              </w:rPr>
              <w:t xml:space="preserve">The A2 in the north of Rosenbach Austria to Hrušica. This motorway includes the route through the Karawanken Tunnel on the Austrian-Slovenian border.</w:t>
            </w:r>
          </w:p>
        </w:tc>
      </w:tr>
      <w:tr>
        <w:trPr/>
        <w:tc>
          <w:tcPr>
            <w:vAlign w:val="center"/>
            <w:shd w:val="clear"/>
            <w:noWrap/>
          </w:tcPr>
          <w:p>
            <w:pPr>
              <w:spacing w:before="0" w:after="0"/>
            </w:pPr>
            <w:r>
              <w:rPr>
                <w:rFonts w:ascii="Arial" w:hAnsi="Arial" w:eastAsia="Arial" w:cs="Arial"/>
                <w:sz w:val="20"/>
                <w:szCs w:val="20"/>
                <w:b w:val="0"/>
                <w:bCs w:val="0"/>
              </w:rPr>
              <w:t xml:space="preserve">H6</w:t>
            </w:r>
          </w:p>
        </w:tc>
        <w:tc>
          <w:tcPr>
            <w:vAlign w:val="center"/>
            <w:shd w:val="clear"/>
            <w:noWrap/>
          </w:tcPr>
          <w:p>
            <w:pPr>
              <w:spacing w:before="0" w:after="0"/>
            </w:pPr>
            <w:r>
              <w:rPr>
                <w:rFonts w:ascii="Arial" w:hAnsi="Arial" w:eastAsia="Arial" w:cs="Arial"/>
                <w:sz w:val="20"/>
                <w:szCs w:val="20"/>
                <w:b w:val="0"/>
                <w:bCs w:val="0"/>
              </w:rPr>
              <w:t xml:space="preserve">A section of the H6 motorway between Koper-Semedela and Koper Lucija.</w:t>
            </w:r>
          </w:p>
        </w:tc>
      </w:tr>
      <w:tr>
        <w:trPr/>
        <w:tc>
          <w:tcPr>
            <w:vAlign w:val="center"/>
            <w:shd w:val="clear"/>
            <w:noWrap/>
          </w:tcPr>
          <w:p>
            <w:pPr>
              <w:spacing w:before="0" w:after="0"/>
            </w:pPr>
            <w:r>
              <w:rPr>
                <w:rFonts w:ascii="Arial" w:hAnsi="Arial" w:eastAsia="Arial" w:cs="Arial"/>
                <w:sz w:val="20"/>
                <w:szCs w:val="20"/>
                <w:b w:val="0"/>
                <w:bCs w:val="0"/>
              </w:rPr>
              <w:t xml:space="preserve">H1</w:t>
            </w:r>
          </w:p>
        </w:tc>
        <w:tc>
          <w:tcPr>
            <w:vAlign w:val="center"/>
            <w:shd w:val="clear"/>
            <w:noWrap/>
          </w:tcPr>
          <w:p>
            <w:pPr>
              <w:spacing w:before="0" w:after="0"/>
            </w:pPr>
            <w:r>
              <w:rPr>
                <w:rFonts w:ascii="Arial" w:hAnsi="Arial" w:eastAsia="Arial" w:cs="Arial"/>
                <w:sz w:val="20"/>
                <w:szCs w:val="20"/>
                <w:b w:val="0"/>
                <w:bCs w:val="0"/>
              </w:rPr>
              <w:t xml:space="preserve">The H1, redesigned as a regional road, in the section between Pesnica and Tezno.</w:t>
            </w:r>
          </w:p>
        </w:tc>
      </w:tr>
      <w:tr>
        <w:trPr/>
        <w:tc>
          <w:tcPr>
            <w:vAlign w:val="center"/>
            <w:shd w:val="clear"/>
            <w:noWrap/>
          </w:tcPr>
          <w:p>
            <w:pPr>
              <w:spacing w:before="0" w:after="0"/>
            </w:pPr>
            <w:r>
              <w:rPr>
                <w:rFonts w:ascii="Arial" w:hAnsi="Arial" w:eastAsia="Arial" w:cs="Arial"/>
                <w:sz w:val="20"/>
                <w:szCs w:val="20"/>
                <w:b w:val="0"/>
                <w:bCs w:val="0"/>
              </w:rPr>
              <w:t xml:space="preserve">H2</w:t>
            </w:r>
          </w:p>
        </w:tc>
        <w:tc>
          <w:tcPr>
            <w:vAlign w:val="center"/>
            <w:shd w:val="clear"/>
            <w:noWrap/>
          </w:tcPr>
          <w:p>
            <w:pPr>
              <w:spacing w:before="0" w:after="0"/>
            </w:pPr>
            <w:r>
              <w:rPr>
                <w:rFonts w:ascii="Arial" w:hAnsi="Arial" w:eastAsia="Arial" w:cs="Arial"/>
                <w:sz w:val="20"/>
                <w:szCs w:val="20"/>
                <w:b w:val="0"/>
                <w:bCs w:val="0"/>
              </w:rPr>
              <w:t xml:space="preserve">The H2, now a toll-free regional road.</w:t>
            </w:r>
          </w:p>
        </w:tc>
      </w:tr>
    </w:tbl>
    <w:p>
      <w:pPr>
        <w:spacing w:after="200"/>
      </w:pPr>
      <w:r>
        <w:rPr>
          <w:rFonts w:ascii="Arial" w:hAnsi="Arial" w:eastAsia="Arial" w:cs="Arial"/>
          <w:sz w:val="22"/>
          <w:szCs w:val="22"/>
        </w:rPr>
        <w:t xml:space="preserve">This table provides a clear overview of the toll-free roads in Slovenia, ensuring that you are well-informed about the routes that do not require a vignette.</w:t>
      </w:r>
    </w:p>
    <w:p>
      <w:pPr>
        <w:pStyle w:val="Heading2"/>
      </w:pPr>
      <w:bookmarkStart w:id="10" w:name="_Toc10"/>
      <w:r>
        <w:t>Purchasing a Vignette for Slovenia</w:t>
      </w:r>
      <w:bookmarkEnd w:id="10"/>
    </w:p>
    <w:p>
      <w:pPr>
        <w:spacing w:after="200"/>
      </w:pPr>
      <w:r>
        <w:rPr>
          <w:rFonts w:ascii="Arial" w:hAnsi="Arial" w:eastAsia="Arial" w:cs="Arial"/>
          <w:sz w:val="22"/>
          <w:szCs w:val="22"/>
        </w:rPr>
        <w:t xml:space="preserve">When planning a trip to Slovenia and needing a vignette, you have several convenient options. Here’s where you can purchase it:</w:t>
      </w:r>
    </w:p>
    <w:p>
      <w:pPr>
        <w:spacing w:after="120"/>
        <w:numPr>
          <w:ilvl w:val="0"/>
          <w:numId w:val="8"/>
        </w:numPr>
      </w:pPr>
      <w:r>
        <w:rPr>
          <w:rFonts w:ascii="Arial" w:hAnsi="Arial" w:eastAsia="Arial" w:cs="Arial"/>
          <w:sz w:val="22"/>
          <w:szCs w:val="22"/>
          <w:b w:val="1"/>
          <w:bCs w:val="1"/>
        </w:rPr>
        <w:t xml:space="preserve">Online Purchase</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Avignette.com</w:t>
      </w:r>
      <w:r>
        <w:rPr>
          <w:rFonts w:ascii="Arial" w:hAnsi="Arial" w:eastAsia="Arial" w:cs="Arial"/>
          <w:sz w:val="22"/>
          <w:szCs w:val="22"/>
        </w:rPr>
        <w:t xml:space="preserve">: We recommend buying the official Slovenian vignette online at avignette.com for ease and convenience. This way, you can secure your vignette before your journey begins.</w:t>
      </w:r>
    </w:p>
    <w:p>
      <w:pPr>
        <w:spacing w:after="120"/>
        <w:numPr>
          <w:ilvl w:val="0"/>
          <w:numId w:val="8"/>
        </w:numPr>
      </w:pPr>
      <w:r>
        <w:rPr>
          <w:rFonts w:ascii="Arial" w:hAnsi="Arial" w:eastAsia="Arial" w:cs="Arial"/>
          <w:sz w:val="22"/>
          <w:szCs w:val="22"/>
          <w:b w:val="1"/>
          <w:bCs w:val="1"/>
        </w:rPr>
        <w:t xml:space="preserve">Physical Purchase Locations</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Slovenia Road Authority (Dars)</w:t>
      </w:r>
      <w:r>
        <w:rPr>
          <w:rFonts w:ascii="Arial" w:hAnsi="Arial" w:eastAsia="Arial" w:cs="Arial"/>
          <w:sz w:val="22"/>
          <w:szCs w:val="22"/>
        </w:rPr>
        <w:t xml:space="preserve">: You can purchase directly from Dars.</w:t>
      </w:r>
    </w:p>
    <w:p>
      <w:pPr>
        <w:spacing w:after="120"/>
        <w:numPr>
          <w:ilvl w:val="1"/>
          <w:numId w:val="7"/>
        </w:numPr>
      </w:pPr>
      <w:r>
        <w:rPr>
          <w:rFonts w:ascii="Arial" w:hAnsi="Arial" w:eastAsia="Arial" w:cs="Arial"/>
          <w:sz w:val="22"/>
          <w:szCs w:val="22"/>
          <w:b w:val="1"/>
          <w:bCs w:val="1"/>
        </w:rPr>
        <w:t xml:space="preserve">On the Way</w:t>
      </w:r>
      <w:r>
        <w:rPr>
          <w:rFonts w:ascii="Arial" w:hAnsi="Arial" w:eastAsia="Arial" w:cs="Arial"/>
          <w:sz w:val="22"/>
          <w:szCs w:val="22"/>
        </w:rPr>
        <w:t xml:space="preserve">: As you approach or enter Slovenia, vignettes are available at various petrol stations, supermarkets, kiosks, and post offices, especially in the border area.</w:t>
      </w:r>
    </w:p>
    <w:p>
      <w:pPr>
        <w:spacing w:after="200"/>
      </w:pPr>
      <w:r>
        <w:rPr>
          <w:rFonts w:ascii="Arial" w:hAnsi="Arial" w:eastAsia="Arial" w:cs="Arial"/>
          <w:sz w:val="22"/>
          <w:szCs w:val="22"/>
        </w:rPr>
        <w:t xml:space="preserve">At Avignette.com, we aim to simplify your travel preparations. Whether you choose the convenience of online purchase or prefer buying at a physical location, we ensure you have all the information you need for a hassle-free vignette acquisition. Remember, having a valid vignette is essential for a smooth and compliant journey through Slovenia’s roads.</w:t>
      </w:r>
    </w:p>
    <w:p>
      <w:pPr>
        <w:pStyle w:val="Heading2"/>
      </w:pPr>
      <w:bookmarkStart w:id="11" w:name="_Toc11"/>
      <w:r>
        <w:t>Understanding Different Toll Classes</w:t>
      </w:r>
      <w:bookmarkEnd w:id="11"/>
    </w:p>
    <w:p>
      <w:pPr>
        <w:spacing w:after="200"/>
      </w:pPr>
      <w:r>
        <w:rPr>
          <w:rFonts w:ascii="Arial" w:hAnsi="Arial" w:eastAsia="Arial" w:cs="Arial"/>
          <w:sz w:val="22"/>
          <w:szCs w:val="22"/>
        </w:rPr>
        <w:t xml:space="preserve">Navigating toll systems can be complex, but understanding the different toll classes is crucial for compliance and efficient travel. Here’s a breakdown of the three toll classes:</w:t>
      </w:r>
    </w:p>
    <w:p>
      <w:pPr>
        <w:spacing w:after="120"/>
        <w:numPr>
          <w:ilvl w:val="0"/>
          <w:numId w:val="8"/>
        </w:numPr>
      </w:pPr>
      <w:r>
        <w:rPr>
          <w:rFonts w:ascii="Arial" w:hAnsi="Arial" w:eastAsia="Arial" w:cs="Arial"/>
          <w:sz w:val="22"/>
          <w:szCs w:val="22"/>
          <w:b w:val="1"/>
          <w:bCs w:val="1"/>
        </w:rPr>
        <w:t xml:space="preserve">Toll Class 1: Motorcycles and Scooters</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Vehicle Type</w:t>
      </w:r>
      <w:r>
        <w:rPr>
          <w:rFonts w:ascii="Arial" w:hAnsi="Arial" w:eastAsia="Arial" w:cs="Arial"/>
          <w:sz w:val="22"/>
          <w:szCs w:val="22"/>
        </w:rPr>
        <w:t xml:space="preserve">: This class is designated for single-track vehicles, which include motorcycles and scooters.</w:t>
      </w:r>
    </w:p>
    <w:p>
      <w:pPr>
        <w:spacing w:after="120"/>
        <w:numPr>
          <w:ilvl w:val="1"/>
          <w:numId w:val="7"/>
        </w:numPr>
      </w:pPr>
      <w:r>
        <w:rPr>
          <w:rFonts w:ascii="Arial" w:hAnsi="Arial" w:eastAsia="Arial" w:cs="Arial"/>
          <w:sz w:val="22"/>
          <w:szCs w:val="22"/>
          <w:b w:val="1"/>
          <w:bCs w:val="1"/>
        </w:rPr>
        <w:t xml:space="preserve">Characteristics</w:t>
      </w:r>
      <w:r>
        <w:rPr>
          <w:rFonts w:ascii="Arial" w:hAnsi="Arial" w:eastAsia="Arial" w:cs="Arial"/>
          <w:sz w:val="22"/>
          <w:szCs w:val="22"/>
        </w:rPr>
        <w:t xml:space="preserve">: These vehicles are recognized for being on one track, differentiating them from multi-track vehicles.</w:t>
      </w:r>
    </w:p>
    <w:p>
      <w:pPr>
        <w:spacing w:after="120"/>
        <w:numPr>
          <w:ilvl w:val="0"/>
          <w:numId w:val="8"/>
        </w:numPr>
      </w:pPr>
      <w:hyperlink r:id="rId8" w:history="1">
        <w:r>
          <w:rPr>
            <w:rFonts w:ascii="Arial" w:hAnsi="Arial" w:eastAsia="Arial" w:cs="Arial"/>
            <w:color w:val="0563C1"/>
            <w:sz w:val="22"/>
            <w:szCs w:val="22"/>
            <w:b w:val="1"/>
            <w:bCs w:val="1"/>
            <w:u w:val="single"/>
          </w:rPr>
          <w:t xml:space="preserve">Toll Class 2A</w:t>
        </w:r>
      </w:hyperlink>
      <w:r>
        <w:rPr>
          <w:rFonts w:ascii="Arial" w:hAnsi="Arial" w:eastAsia="Arial" w:cs="Arial"/>
          <w:sz w:val="22"/>
          <w:szCs w:val="22"/>
          <w:b w:val="1"/>
          <w:bCs w:val="1"/>
        </w:rPr>
        <w:t xml:space="preserve">: Cars and Motorhomes Under 3.5 Tons</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Vehicle Specification</w:t>
      </w:r>
      <w:r>
        <w:rPr>
          <w:rFonts w:ascii="Arial" w:hAnsi="Arial" w:eastAsia="Arial" w:cs="Arial"/>
          <w:sz w:val="22"/>
          <w:szCs w:val="22"/>
        </w:rPr>
        <w:t xml:space="preserve">: Includes cars and motorhomes with a total weight of less than 3.5 tons.</w:t>
      </w:r>
    </w:p>
    <w:p>
      <w:pPr>
        <w:spacing w:after="120"/>
        <w:numPr>
          <w:ilvl w:val="1"/>
          <w:numId w:val="7"/>
        </w:numPr>
      </w:pPr>
      <w:r>
        <w:rPr>
          <w:rFonts w:ascii="Arial" w:hAnsi="Arial" w:eastAsia="Arial" w:cs="Arial"/>
          <w:sz w:val="22"/>
          <w:szCs w:val="22"/>
          <w:b w:val="1"/>
          <w:bCs w:val="1"/>
        </w:rPr>
        <w:t xml:space="preserve">Height Criteria</w:t>
      </w:r>
      <w:r>
        <w:rPr>
          <w:rFonts w:ascii="Arial" w:hAnsi="Arial" w:eastAsia="Arial" w:cs="Arial"/>
          <w:sz w:val="22"/>
          <w:szCs w:val="22"/>
        </w:rPr>
        <w:t xml:space="preserve">: Vehicles in this class have a height of up to 1.30 meters above the ground at the front axle. This class also includes mobile homes equipped with permanent living spaces.</w:t>
      </w:r>
    </w:p>
    <w:p>
      <w:pPr>
        <w:spacing w:after="120"/>
        <w:numPr>
          <w:ilvl w:val="0"/>
          <w:numId w:val="8"/>
        </w:numPr>
      </w:pPr>
      <w:hyperlink r:id="rId8" w:history="1">
        <w:r>
          <w:rPr>
            <w:rFonts w:ascii="Arial" w:hAnsi="Arial" w:eastAsia="Arial" w:cs="Arial"/>
            <w:color w:val="0563C1"/>
            <w:sz w:val="22"/>
            <w:szCs w:val="22"/>
            <w:b w:val="1"/>
            <w:bCs w:val="1"/>
            <w:u w:val="single"/>
          </w:rPr>
          <w:t xml:space="preserve">Toll Class 2B</w:t>
        </w:r>
      </w:hyperlink>
      <w:r>
        <w:rPr>
          <w:rFonts w:ascii="Arial" w:hAnsi="Arial" w:eastAsia="Arial" w:cs="Arial"/>
          <w:sz w:val="22"/>
          <w:szCs w:val="22"/>
          <w:b w:val="1"/>
          <w:bCs w:val="1"/>
        </w:rPr>
        <w:t xml:space="preserve">: High Vehicles with More Than 1.3 Meters at Front Axle</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Weight and Height Specification</w:t>
      </w:r>
      <w:r>
        <w:rPr>
          <w:rFonts w:ascii="Arial" w:hAnsi="Arial" w:eastAsia="Arial" w:cs="Arial"/>
          <w:sz w:val="22"/>
          <w:szCs w:val="22"/>
        </w:rPr>
        <w:t xml:space="preserve">: Encompasses vehicles with a permissible gross weight of less than 3.5 tons, but with a height exceeding 1.30 meters above the ground at the front axle.</w:t>
      </w:r>
    </w:p>
    <w:p>
      <w:pPr>
        <w:spacing w:after="120"/>
        <w:numPr>
          <w:ilvl w:val="1"/>
          <w:numId w:val="7"/>
        </w:numPr>
      </w:pPr>
      <w:r>
        <w:rPr>
          <w:rFonts w:ascii="Arial" w:hAnsi="Arial" w:eastAsia="Arial" w:cs="Arial"/>
          <w:sz w:val="22"/>
          <w:szCs w:val="22"/>
          <w:b w:val="1"/>
          <w:bCs w:val="1"/>
        </w:rPr>
        <w:t xml:space="preserve">Typical Vehicles</w:t>
      </w:r>
      <w:r>
        <w:rPr>
          <w:rFonts w:ascii="Arial" w:hAnsi="Arial" w:eastAsia="Arial" w:cs="Arial"/>
          <w:sz w:val="22"/>
          <w:szCs w:val="22"/>
        </w:rPr>
        <w:t xml:space="preserve">: This class often includes taller vans, SUVs, and some types of specialized vehicles.</w:t>
      </w:r>
    </w:p>
    <w:p>
      <w:pPr>
        <w:spacing w:after="200"/>
      </w:pPr>
      <w:r>
        <w:rPr>
          <w:rFonts w:ascii="Arial" w:hAnsi="Arial" w:eastAsia="Arial" w:cs="Arial"/>
          <w:sz w:val="22"/>
          <w:szCs w:val="22"/>
        </w:rPr>
        <w:t xml:space="preserve">Understanding these toll classes is essential for determining the correct toll fees and ensuring compliance with local regulations. We provide detailed information and guidance to help you identify the appropriate toll class for your vehicle, making your travel experience smoother and more efficient.</w:t>
      </w:r>
    </w:p>
    <w:p>
      <w:pPr>
        <w:pStyle w:val="Heading2"/>
      </w:pPr>
      <w:bookmarkStart w:id="12" w:name="_Toc12"/>
      <w:r>
        <w:t>Price of Slovenian E-Vignette</w:t>
      </w:r>
      <w:bookmarkEnd w:id="12"/>
    </w:p>
    <w:p>
      <w:pPr>
        <w:spacing w:after="200"/>
      </w:pPr>
      <w:r>
        <w:rPr>
          <w:rFonts w:ascii="Arial" w:hAnsi="Arial" w:eastAsia="Arial" w:cs="Arial"/>
          <w:sz w:val="22"/>
          <w:szCs w:val="22"/>
        </w:rPr>
        <w:t xml:space="preserve">The price of a vignette is determined by vehicleclass and the duration of use:</w:t>
      </w:r>
    </w:p>
    <w:p>
      <w:pPr>
        <w:spacing w:after="200"/>
      </w:pPr>
      <w:r>
        <w:rPr>
          <w:rFonts w:ascii="Arial" w:hAnsi="Arial" w:eastAsia="Arial" w:cs="Arial"/>
          <w:sz w:val="22"/>
          <w:szCs w:val="22"/>
        </w:rPr>
        <w:t xml:space="preserve"/>
      </w:r>
    </w:p>
    <w:p>
      <w:pPr>
        <w:pStyle w:val="Heading2"/>
      </w:pPr>
      <w:bookmarkStart w:id="13" w:name="_Toc13"/>
      <w:r>
        <w:t>Options and Flexibility with Slovenia’s Toll Vignettes</w:t>
      </w:r>
      <w:bookmarkEnd w:id="13"/>
    </w:p>
    <w:p>
      <w:pPr>
        <w:spacing w:after="200"/>
      </w:pPr>
      <w:r>
        <w:rPr>
          <w:rFonts w:ascii="Arial" w:hAnsi="Arial" w:eastAsia="Arial" w:cs="Arial"/>
          <w:sz w:val="22"/>
          <w:szCs w:val="22"/>
        </w:rPr>
        <w:t xml:space="preserve">When traveling through Slovenia, selecting the right vignette for your needs is crucial. Here’s a guide to the different validity periods available and some key questions answered:</w:t>
      </w:r>
    </w:p>
    <w:p>
      <w:pPr>
        <w:spacing w:after="120"/>
        <w:numPr>
          <w:ilvl w:val="0"/>
          <w:numId w:val="8"/>
        </w:numPr>
      </w:pPr>
      <w:r>
        <w:rPr>
          <w:rFonts w:ascii="Arial" w:hAnsi="Arial" w:eastAsia="Arial" w:cs="Arial"/>
          <w:sz w:val="22"/>
          <w:szCs w:val="22"/>
          <w:b w:val="1"/>
          <w:bCs w:val="1"/>
        </w:rPr>
        <w:t xml:space="preserve">Vignette Validity Options</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Weekly Vignette</w:t>
      </w:r>
      <w:r>
        <w:rPr>
          <w:rFonts w:ascii="Arial" w:hAnsi="Arial" w:eastAsia="Arial" w:cs="Arial"/>
          <w:sz w:val="22"/>
          <w:szCs w:val="22"/>
        </w:rPr>
        <w:t xml:space="preserve">: Ideal for short visits or specific travel dates.</w:t>
      </w:r>
    </w:p>
    <w:p>
      <w:pPr>
        <w:spacing w:after="120"/>
        <w:numPr>
          <w:ilvl w:val="1"/>
          <w:numId w:val="7"/>
        </w:numPr>
      </w:pPr>
      <w:r>
        <w:rPr>
          <w:rFonts w:ascii="Arial" w:hAnsi="Arial" w:eastAsia="Arial" w:cs="Arial"/>
          <w:sz w:val="22"/>
          <w:szCs w:val="22"/>
          <w:b w:val="1"/>
          <w:bCs w:val="1"/>
        </w:rPr>
        <w:t xml:space="preserve">Monthly Vignette</w:t>
      </w:r>
      <w:r>
        <w:rPr>
          <w:rFonts w:ascii="Arial" w:hAnsi="Arial" w:eastAsia="Arial" w:cs="Arial"/>
          <w:sz w:val="22"/>
          <w:szCs w:val="22"/>
        </w:rPr>
        <w:t xml:space="preserve">: Suitable for longer stays or extended travel within a month.</w:t>
      </w:r>
    </w:p>
    <w:p>
      <w:pPr>
        <w:spacing w:after="120"/>
        <w:numPr>
          <w:ilvl w:val="1"/>
          <w:numId w:val="7"/>
        </w:numPr>
      </w:pPr>
      <w:r>
        <w:rPr>
          <w:rFonts w:ascii="Arial" w:hAnsi="Arial" w:eastAsia="Arial" w:cs="Arial"/>
          <w:sz w:val="22"/>
          <w:szCs w:val="22"/>
          <w:b w:val="1"/>
          <w:bCs w:val="1"/>
        </w:rPr>
        <w:t xml:space="preserve">Semi-annual e-vignette: </w:t>
      </w:r>
      <w:r>
        <w:rPr>
          <w:rFonts w:ascii="Arial" w:hAnsi="Arial" w:eastAsia="Arial" w:cs="Arial"/>
          <w:sz w:val="22"/>
          <w:szCs w:val="22"/>
        </w:rPr>
        <w:t xml:space="preserve">The 6-month e-vignette in Slovenia is suitable for motorcycles and is valid for six months from the selected start date, expiring at the end of the same day six months later or on the last day of that month if the sixth month does not have that day.</w:t>
      </w:r>
    </w:p>
    <w:p>
      <w:pPr>
        <w:spacing w:after="120"/>
        <w:numPr>
          <w:ilvl w:val="1"/>
          <w:numId w:val="7"/>
        </w:numPr>
      </w:pPr>
      <w:r>
        <w:rPr>
          <w:rFonts w:ascii="Arial" w:hAnsi="Arial" w:eastAsia="Arial" w:cs="Arial"/>
          <w:sz w:val="22"/>
          <w:szCs w:val="22"/>
          <w:b w:val="1"/>
          <w:bCs w:val="1"/>
        </w:rPr>
        <w:t xml:space="preserve">Yearly Vignette</w:t>
      </w:r>
      <w:r>
        <w:rPr>
          <w:rFonts w:ascii="Arial" w:hAnsi="Arial" w:eastAsia="Arial" w:cs="Arial"/>
          <w:sz w:val="22"/>
          <w:szCs w:val="22"/>
        </w:rPr>
        <w:t xml:space="preserve">: Covers longer periods, ideal for frequent travelers. The validity of the e-vignette starts from the date chosen by the buyer and lasts until the end of the same date in the following year. For instance, if you buy an annual e-vignette and set its start date as April 15, 2022, it will be valid on motorways and expressways until April 15, 2023, up to midnight. The only exception is during a leap year; if February 29 is selected as the start date, the e-vignette will expire on February 28 of the next year.</w:t>
      </w:r>
    </w:p>
    <w:p>
      <w:pPr>
        <w:spacing w:after="120"/>
        <w:numPr>
          <w:ilvl w:val="0"/>
          <w:numId w:val="8"/>
        </w:numPr>
      </w:pPr>
      <w:r>
        <w:rPr>
          <w:rFonts w:ascii="Arial" w:hAnsi="Arial" w:eastAsia="Arial" w:cs="Arial"/>
          <w:sz w:val="22"/>
          <w:szCs w:val="22"/>
          <w:b w:val="1"/>
          <w:bCs w:val="1"/>
        </w:rPr>
        <w:t xml:space="preserve">Changing Registration Number</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Transferability</w:t>
      </w:r>
      <w:r>
        <w:rPr>
          <w:rFonts w:ascii="Arial" w:hAnsi="Arial" w:eastAsia="Arial" w:cs="Arial"/>
          <w:sz w:val="22"/>
          <w:szCs w:val="22"/>
        </w:rPr>
        <w:t xml:space="preserve">: You can transfer the vignette to a different registration number, provided the new vehicle falls under the same toll class.</w:t>
      </w:r>
    </w:p>
    <w:p>
      <w:pPr>
        <w:spacing w:after="120"/>
        <w:numPr>
          <w:ilvl w:val="1"/>
          <w:numId w:val="7"/>
        </w:numPr>
      </w:pPr>
      <w:r>
        <w:rPr>
          <w:rFonts w:ascii="Arial" w:hAnsi="Arial" w:eastAsia="Arial" w:cs="Arial"/>
          <w:sz w:val="22"/>
          <w:szCs w:val="22"/>
          <w:b w:val="1"/>
          <w:bCs w:val="1"/>
        </w:rPr>
        <w:t xml:space="preserve">Conditions</w:t>
      </w:r>
      <w:r>
        <w:rPr>
          <w:rFonts w:ascii="Arial" w:hAnsi="Arial" w:eastAsia="Arial" w:cs="Arial"/>
          <w:sz w:val="22"/>
          <w:szCs w:val="22"/>
        </w:rPr>
        <w:t xml:space="preserve">: This change can only be made via the DARS website and is permissible only if the effective date of the vignette has not yet started.</w:t>
      </w:r>
    </w:p>
    <w:p>
      <w:pPr>
        <w:spacing w:after="120"/>
        <w:numPr>
          <w:ilvl w:val="0"/>
          <w:numId w:val="8"/>
        </w:numPr>
      </w:pPr>
      <w:r>
        <w:rPr>
          <w:rFonts w:ascii="Arial" w:hAnsi="Arial" w:eastAsia="Arial" w:cs="Arial"/>
          <w:sz w:val="22"/>
          <w:szCs w:val="22"/>
          <w:b w:val="1"/>
          <w:bCs w:val="1"/>
        </w:rPr>
        <w:t xml:space="preserve">Transferring Vignette to Another Vehicle</w:t>
      </w:r>
      <w:r>
        <w:rPr>
          <w:rFonts w:ascii="Arial" w:hAnsi="Arial" w:eastAsia="Arial" w:cs="Arial"/>
          <w:sz w:val="22"/>
          <w:szCs w:val="22"/>
        </w:rPr>
        <w:t xml:space="preserve">: </w:t>
      </w:r>
    </w:p>
    <w:p>
      <w:pPr>
        <w:spacing w:after="120"/>
        <w:numPr>
          <w:ilvl w:val="1"/>
          <w:numId w:val="7"/>
        </w:numPr>
      </w:pPr>
      <w:r>
        <w:rPr>
          <w:rFonts w:ascii="Arial" w:hAnsi="Arial" w:eastAsia="Arial" w:cs="Arial"/>
          <w:sz w:val="22"/>
          <w:szCs w:val="22"/>
          <w:b w:val="1"/>
          <w:bCs w:val="1"/>
        </w:rPr>
        <w:t xml:space="preserve">Restriction</w:t>
      </w:r>
      <w:r>
        <w:rPr>
          <w:rFonts w:ascii="Arial" w:hAnsi="Arial" w:eastAsia="Arial" w:cs="Arial"/>
          <w:sz w:val="22"/>
          <w:szCs w:val="22"/>
        </w:rPr>
        <w:t xml:space="preserve">: Unfortunately, transferring your vignette to a different type of vehicle is not possible. The vignette is vehicle-specific and cannot be reallocated to another vehicle type.</w:t>
      </w:r>
    </w:p>
    <w:p>
      <w:pPr>
        <w:spacing w:after="200"/>
      </w:pPr>
      <w:r>
        <w:rPr>
          <w:rFonts w:ascii="Arial" w:hAnsi="Arial" w:eastAsia="Arial" w:cs="Arial"/>
          <w:sz w:val="22"/>
          <w:szCs w:val="22"/>
        </w:rPr>
        <w:t xml:space="preserve">We aim to provide you with comprehensive information to make informed decisions about purchasing and managing your vignettes in Slovenia. Whether it’s selecting the right duration or understanding transfer rules, our platform is designed to assist you every step of the way. For further details or to purchase a vignette, visit Avignette.com.</w:t>
      </w:r>
    </w:p>
    <w:p>
      <w:pPr>
        <w:pStyle w:val="Heading2"/>
      </w:pPr>
      <w:bookmarkStart w:id="14" w:name="_Toc14"/>
      <w:r>
        <w:t>Slovenia Vignette FAQs</w:t>
      </w:r>
      <w:bookmarkEnd w:id="14"/>
    </w:p>
    <w:p>
      <w:pPr>
        <w:spacing w:after="200"/>
      </w:pPr>
      <w:r>
        <w:rPr>
          <w:rFonts w:ascii="Arial" w:hAnsi="Arial" w:eastAsia="Arial" w:cs="Arial"/>
          <w:sz w:val="22"/>
          <w:szCs w:val="22"/>
        </w:rPr>
        <w:t xml:space="preserve">Here are answers to </w:t>
      </w:r>
      <w:hyperlink r:id="rId9" w:history="1">
        <w:r>
          <w:rPr>
            <w:rFonts w:ascii="Arial" w:hAnsi="Arial" w:eastAsia="Arial" w:cs="Arial"/>
            <w:color w:val="0563C1"/>
            <w:sz w:val="22"/>
            <w:szCs w:val="22"/>
            <w:u w:val="single"/>
          </w:rPr>
          <w:t xml:space="preserve">some frequently asked questions about vignettes for Slovenia</w:t>
        </w:r>
      </w:hyperlink>
      <w:r>
        <w:rPr>
          <w:rFonts w:ascii="Arial" w:hAnsi="Arial" w:eastAsia="Arial" w:cs="Arial"/>
          <w:sz w:val="22"/>
          <w:szCs w:val="22"/>
        </w:rPr>
        <w:t xml:space="preserve">:</w:t>
      </w:r>
    </w:p>
    <w:p>
      <w:pPr>
        <w:pStyle w:val="Heading3"/>
      </w:pPr>
      <w:bookmarkStart w:id="15" w:name="_Toc15"/>
      <w:r>
        <w:t>Where can I buy a vignette for Slovenia?</w:t>
      </w:r>
      <w:bookmarkEnd w:id="15"/>
    </w:p>
    <w:p>
      <w:pPr>
        <w:spacing w:after="120"/>
        <w:numPr>
          <w:ilvl w:val="0"/>
          <w:numId w:val="7"/>
        </w:numPr>
      </w:pPr>
      <w:r>
        <w:rPr>
          <w:rFonts w:ascii="Arial" w:hAnsi="Arial" w:eastAsia="Arial" w:cs="Arial"/>
          <w:sz w:val="22"/>
          <w:szCs w:val="22"/>
          <w:b w:val="1"/>
          <w:bCs w:val="1"/>
        </w:rPr>
        <w:t xml:space="preserve">Online Purchase</w:t>
      </w:r>
      <w:r>
        <w:rPr>
          <w:rFonts w:ascii="Arial" w:hAnsi="Arial" w:eastAsia="Arial" w:cs="Arial"/>
          <w:sz w:val="22"/>
          <w:szCs w:val="22"/>
        </w:rPr>
        <w:t xml:space="preserve">: The most convenient and secure way to purchase the Slovenian road vignette is through our website at Avignette.com.</w:t>
      </w:r>
    </w:p>
    <w:p>
      <w:pPr>
        <w:spacing w:after="120"/>
        <w:numPr>
          <w:ilvl w:val="0"/>
          <w:numId w:val="7"/>
        </w:numPr>
      </w:pPr>
      <w:r>
        <w:rPr>
          <w:rFonts w:ascii="Arial" w:hAnsi="Arial" w:eastAsia="Arial" w:cs="Arial"/>
          <w:sz w:val="22"/>
          <w:szCs w:val="22"/>
          <w:b w:val="1"/>
          <w:bCs w:val="1"/>
        </w:rPr>
        <w:t xml:space="preserve">Physical Locations</w:t>
      </w:r>
      <w:r>
        <w:rPr>
          <w:rFonts w:ascii="Arial" w:hAnsi="Arial" w:eastAsia="Arial" w:cs="Arial"/>
          <w:sz w:val="22"/>
          <w:szCs w:val="22"/>
        </w:rPr>
        <w:t xml:space="preserve">: You can also buy the vignette at toll booths, petrol stations, supermarkets, and kiosks within Slovenia. Additionally, petrol stations at the Slovenian border offer vignettes, but be prepared to pay by credit card and possibly encounter queues.</w:t>
      </w:r>
    </w:p>
    <w:p>
      <w:pPr>
        <w:pStyle w:val="Heading3"/>
      </w:pPr>
      <w:bookmarkStart w:id="16" w:name="_Toc16"/>
      <w:r>
        <w:t>How does the online vignette for Slovenia work?</w:t>
      </w:r>
      <w:bookmarkEnd w:id="16"/>
    </w:p>
    <w:p>
      <w:pPr>
        <w:spacing w:after="120"/>
        <w:numPr>
          <w:ilvl w:val="0"/>
          <w:numId w:val="7"/>
        </w:numPr>
      </w:pPr>
      <w:r>
        <w:rPr>
          <w:rFonts w:ascii="Arial" w:hAnsi="Arial" w:eastAsia="Arial" w:cs="Arial"/>
          <w:sz w:val="22"/>
          <w:szCs w:val="22"/>
          <w:b w:val="1"/>
          <w:bCs w:val="1"/>
        </w:rPr>
        <w:t xml:space="preserve">E-Vignette System (E-vinjeta)</w:t>
      </w:r>
      <w:r>
        <w:rPr>
          <w:rFonts w:ascii="Arial" w:hAnsi="Arial" w:eastAsia="Arial" w:cs="Arial"/>
          <w:sz w:val="22"/>
          <w:szCs w:val="22"/>
        </w:rPr>
        <w:t xml:space="preserve">: Introduced in 2021, the e-vignette replaces the need for a physical sticker on your windscreen.</w:t>
      </w:r>
    </w:p>
    <w:p>
      <w:pPr>
        <w:spacing w:after="120"/>
        <w:numPr>
          <w:ilvl w:val="0"/>
          <w:numId w:val="7"/>
        </w:numPr>
      </w:pPr>
      <w:r>
        <w:rPr>
          <w:rFonts w:ascii="Arial" w:hAnsi="Arial" w:eastAsia="Arial" w:cs="Arial"/>
          <w:sz w:val="22"/>
          <w:szCs w:val="22"/>
          <w:b w:val="1"/>
          <w:bCs w:val="1"/>
        </w:rPr>
        <w:t xml:space="preserve">Registration and Activation</w:t>
      </w:r>
      <w:r>
        <w:rPr>
          <w:rFonts w:ascii="Arial" w:hAnsi="Arial" w:eastAsia="Arial" w:cs="Arial"/>
          <w:sz w:val="22"/>
          <w:szCs w:val="22"/>
        </w:rPr>
        <w:t xml:space="preserve">: Once you order and pay for the e-vignette through our website, it is automatically linked to your vehicle’s registration number and registered in Slovenia’s central toll system.</w:t>
      </w:r>
    </w:p>
    <w:p>
      <w:pPr>
        <w:spacing w:after="200"/>
      </w:pPr>
      <w:r>
        <w:rPr>
          <w:rFonts w:ascii="Arial" w:hAnsi="Arial" w:eastAsia="Arial" w:cs="Arial"/>
          <w:sz w:val="22"/>
          <w:szCs w:val="22"/>
        </w:rPr>
        <w:t xml:space="preserve">For detailed information on vignette requirements and purchases for Slovenia, Avignette.com is your trusted source. We offer secure and straightforward services to ensure your travel is compliant and hassle-free.</w:t>
      </w:r>
    </w:p>
    <w:p>
      <w:pPr>
        <w:pStyle w:val="Heading2"/>
      </w:pPr>
      <w:bookmarkStart w:id="17" w:name="_Toc17"/>
      <w:r>
        <w:t>Avoiding Fines: The Importance of Having a Vignette in Slovenia</w:t>
      </w:r>
      <w:bookmarkEnd w:id="17"/>
    </w:p>
    <w:p>
      <w:pPr>
        <w:spacing w:after="200"/>
      </w:pPr>
      <w:r>
        <w:rPr>
          <w:rFonts w:ascii="Arial" w:hAnsi="Arial" w:eastAsia="Arial" w:cs="Arial"/>
          <w:sz w:val="22"/>
          <w:szCs w:val="22"/>
        </w:rPr>
        <w:t xml:space="preserve">Traveling through Slovenia requires adherence to its vignette system to avoid substantial fines. Here’s what you need to know:</w:t>
      </w:r>
    </w:p>
    <w:p>
      <w:pPr>
        <w:pStyle w:val="Heading3"/>
      </w:pPr>
      <w:bookmarkStart w:id="18" w:name="_Toc18"/>
      <w:r>
        <w:t>Consequences of Not Having a Vignette:</w:t>
      </w:r>
      <w:bookmarkEnd w:id="18"/>
    </w:p>
    <w:p>
      <w:pPr>
        <w:spacing w:after="120"/>
        <w:numPr>
          <w:ilvl w:val="0"/>
          <w:numId w:val="7"/>
        </w:numPr>
      </w:pPr>
      <w:r>
        <w:rPr>
          <w:rFonts w:ascii="Arial" w:hAnsi="Arial" w:eastAsia="Arial" w:cs="Arial"/>
          <w:sz w:val="22"/>
          <w:szCs w:val="22"/>
          <w:b w:val="1"/>
          <w:bCs w:val="1"/>
        </w:rPr>
        <w:t xml:space="preserve">Potential Fines</w:t>
      </w:r>
      <w:r>
        <w:rPr>
          <w:rFonts w:ascii="Arial" w:hAnsi="Arial" w:eastAsia="Arial" w:cs="Arial"/>
          <w:sz w:val="22"/>
          <w:szCs w:val="22"/>
        </w:rPr>
        <w:t xml:space="preserve">: If you’re caught without the required vignette, you could face fines ranging from €300 to €800.</w:t>
      </w:r>
    </w:p>
    <w:p>
      <w:pPr>
        <w:spacing w:after="120"/>
        <w:numPr>
          <w:ilvl w:val="0"/>
          <w:numId w:val="7"/>
        </w:numPr>
      </w:pPr>
      <w:r>
        <w:rPr>
          <w:rFonts w:ascii="Arial" w:hAnsi="Arial" w:eastAsia="Arial" w:cs="Arial"/>
          <w:sz w:val="22"/>
          <w:szCs w:val="22"/>
          <w:b w:val="1"/>
          <w:bCs w:val="1"/>
        </w:rPr>
        <w:t xml:space="preserve">Best Practice</w:t>
      </w:r>
      <w:r>
        <w:rPr>
          <w:rFonts w:ascii="Arial" w:hAnsi="Arial" w:eastAsia="Arial" w:cs="Arial"/>
          <w:sz w:val="22"/>
          <w:szCs w:val="22"/>
        </w:rPr>
        <w:t xml:space="preserve">: To avoid these unnecessary costs and complications, it’s crucial to have a valid digital vignette as soon as you enter Slovenia.</w:t>
      </w:r>
    </w:p>
    <w:p>
      <w:pPr>
        <w:pStyle w:val="Heading3"/>
      </w:pPr>
      <w:bookmarkStart w:id="19" w:name="_Toc19"/>
      <w:r>
        <w:t>Vignette Compliance Checks:</w:t>
      </w:r>
      <w:bookmarkEnd w:id="19"/>
    </w:p>
    <w:p>
      <w:pPr>
        <w:spacing w:after="120"/>
        <w:numPr>
          <w:ilvl w:val="0"/>
          <w:numId w:val="7"/>
        </w:numPr>
      </w:pPr>
      <w:r>
        <w:rPr>
          <w:rFonts w:ascii="Arial" w:hAnsi="Arial" w:eastAsia="Arial" w:cs="Arial"/>
          <w:sz w:val="22"/>
          <w:szCs w:val="22"/>
          <w:b w:val="1"/>
          <w:bCs w:val="1"/>
        </w:rPr>
        <w:t xml:space="preserve">Enforcement by DARS</w:t>
      </w:r>
      <w:r>
        <w:rPr>
          <w:rFonts w:ascii="Arial" w:hAnsi="Arial" w:eastAsia="Arial" w:cs="Arial"/>
          <w:sz w:val="22"/>
          <w:szCs w:val="22"/>
        </w:rPr>
        <w:t xml:space="preserve">: The Slovenian motorways and expressways are monitored by the </w:t>
      </w:r>
      <w:hyperlink r:id="rId10" w:history="1">
        <w:r>
          <w:rPr>
            <w:rFonts w:ascii="Arial" w:hAnsi="Arial" w:eastAsia="Arial" w:cs="Arial"/>
            <w:color w:val="0563C1"/>
            <w:sz w:val="22"/>
            <w:szCs w:val="22"/>
            <w:u w:val="single"/>
          </w:rPr>
          <w:t xml:space="preserve">Motorway Operating Company, DARS</w:t>
        </w:r>
      </w:hyperlink>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b w:val="1"/>
          <w:bCs w:val="1"/>
        </w:rPr>
        <w:t xml:space="preserve">Registration Number Scanning</w:t>
      </w:r>
      <w:r>
        <w:rPr>
          <w:rFonts w:ascii="Arial" w:hAnsi="Arial" w:eastAsia="Arial" w:cs="Arial"/>
          <w:sz w:val="22"/>
          <w:szCs w:val="22"/>
        </w:rPr>
        <w:t xml:space="preserve">: Upon entering Slovenia, cameras scan your vehicle’s registration number. This is then cross-referenced with the database to verify compliance with the vignette requirement.</w:t>
      </w:r>
    </w:p>
    <w:p>
      <w:pPr>
        <w:pStyle w:val="Heading3"/>
      </w:pPr>
      <w:bookmarkStart w:id="20" w:name="_Toc20"/>
      <w:r>
        <w:t>Traveling to Neighboring Countries:</w:t>
      </w:r>
      <w:bookmarkEnd w:id="20"/>
    </w:p>
    <w:p>
      <w:pPr>
        <w:spacing w:after="120"/>
        <w:numPr>
          <w:ilvl w:val="0"/>
          <w:numId w:val="7"/>
        </w:numPr>
      </w:pPr>
      <w:r>
        <w:rPr>
          <w:rFonts w:ascii="Arial" w:hAnsi="Arial" w:eastAsia="Arial" w:cs="Arial"/>
          <w:sz w:val="22"/>
          <w:szCs w:val="22"/>
          <w:b w:val="1"/>
          <w:bCs w:val="1"/>
        </w:rPr>
        <w:t xml:space="preserve">Bordering Countries</w:t>
      </w:r>
      <w:r>
        <w:rPr>
          <w:rFonts w:ascii="Arial" w:hAnsi="Arial" w:eastAsia="Arial" w:cs="Arial"/>
          <w:sz w:val="22"/>
          <w:szCs w:val="22"/>
        </w:rPr>
        <w:t xml:space="preserve">: Slovenia shares borders with four European countries, each with its vignette requirements.</w:t>
      </w:r>
    </w:p>
    <w:p>
      <w:pPr>
        <w:spacing w:after="120"/>
        <w:numPr>
          <w:ilvl w:val="0"/>
          <w:numId w:val="7"/>
        </w:numPr>
      </w:pPr>
      <w:r>
        <w:rPr>
          <w:rFonts w:ascii="Arial" w:hAnsi="Arial" w:eastAsia="Arial" w:cs="Arial"/>
          <w:sz w:val="22"/>
          <w:szCs w:val="22"/>
          <w:b w:val="1"/>
          <w:bCs w:val="1"/>
        </w:rPr>
        <w:t xml:space="preserve">Countries with Digital Vignettes</w:t>
      </w:r>
      <w:r>
        <w:rPr>
          <w:rFonts w:ascii="Arial" w:hAnsi="Arial" w:eastAsia="Arial" w:cs="Arial"/>
          <w:sz w:val="22"/>
          <w:szCs w:val="22"/>
        </w:rPr>
        <w:t xml:space="preserve">: </w:t>
      </w:r>
    </w:p>
    <w:p>
      <w:pPr>
        <w:spacing w:after="120"/>
        <w:numPr>
          <w:ilvl w:val="1"/>
          <w:numId w:val="7"/>
        </w:numPr>
      </w:pPr>
      <w:hyperlink r:id="rId11" w:history="1">
        <w:r>
          <w:rPr>
            <w:rFonts w:ascii="Arial" w:hAnsi="Arial" w:eastAsia="Arial" w:cs="Arial"/>
            <w:color w:val="0563C1"/>
            <w:sz w:val="22"/>
            <w:szCs w:val="22"/>
            <w:b w:val="1"/>
            <w:bCs w:val="1"/>
            <w:u w:val="single"/>
          </w:rPr>
          <w:t xml:space="preserve">Austria</w:t>
        </w:r>
      </w:hyperlink>
      <w:r>
        <w:rPr>
          <w:rFonts w:ascii="Arial" w:hAnsi="Arial" w:eastAsia="Arial" w:cs="Arial"/>
          <w:sz w:val="22"/>
          <w:szCs w:val="22"/>
        </w:rPr>
        <w:t xml:space="preserve">: Utilizes a digital vignette system.</w:t>
      </w:r>
    </w:p>
    <w:p>
      <w:pPr>
        <w:spacing w:after="120"/>
        <w:numPr>
          <w:ilvl w:val="1"/>
          <w:numId w:val="7"/>
        </w:numPr>
      </w:pPr>
      <w:hyperlink r:id="rId12" w:history="1">
        <w:r>
          <w:rPr>
            <w:rFonts w:ascii="Arial" w:hAnsi="Arial" w:eastAsia="Arial" w:cs="Arial"/>
            <w:color w:val="0563C1"/>
            <w:sz w:val="22"/>
            <w:szCs w:val="22"/>
            <w:b w:val="1"/>
            <w:bCs w:val="1"/>
            <w:u w:val="single"/>
          </w:rPr>
          <w:t xml:space="preserve">Hungary</w:t>
        </w:r>
      </w:hyperlink>
      <w:r>
        <w:rPr>
          <w:rFonts w:ascii="Arial" w:hAnsi="Arial" w:eastAsia="Arial" w:cs="Arial"/>
          <w:sz w:val="22"/>
          <w:szCs w:val="22"/>
        </w:rPr>
        <w:t xml:space="preserve">: Also employs a digital vignette for road network maintenance.</w:t>
      </w:r>
    </w:p>
    <w:p>
      <w:pPr>
        <w:spacing w:after="200"/>
      </w:pPr>
      <w:r>
        <w:rPr>
          <w:rFonts w:ascii="Arial" w:hAnsi="Arial" w:eastAsia="Arial" w:cs="Arial"/>
          <w:sz w:val="22"/>
          <w:szCs w:val="22"/>
        </w:rPr>
        <w:t xml:space="preserve">When planning your journey through Slovenia and to its neighboring countries, ensuring that you have the appropriate vignettes is essential. Avignette.com is your go-to resource for obtaining these vignettes easily and ensuring compliance with local regulations.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27A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F79009"/>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vignette.com/countries/slovenia/" TargetMode="External"/><Relationship Id="rId8" Type="http://schemas.openxmlformats.org/officeDocument/2006/relationships/hyperlink" Target="https://avignette.com/countries/slovenia/2a-2b/" TargetMode="External"/><Relationship Id="rId9" Type="http://schemas.openxmlformats.org/officeDocument/2006/relationships/hyperlink" Target="https://avignette.com/countries/slovenia/frequently-asked-questions/" TargetMode="External"/><Relationship Id="rId10" Type="http://schemas.openxmlformats.org/officeDocument/2006/relationships/hyperlink" Target="https://www.dars.si/" TargetMode="External"/><Relationship Id="rId11" Type="http://schemas.openxmlformats.org/officeDocument/2006/relationships/hyperlink" Target="https://avignette.com/countries/austria/vignette/" TargetMode="External"/><Relationship Id="rId12" Type="http://schemas.openxmlformats.org/officeDocument/2006/relationships/hyperlink" Target="https://avignette.com/countries/hungary/vignet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2026-09-10T04:06:32+00:00</dcterms:created>
  <dcterms:modified xsi:type="dcterms:W3CDTF">2026-09-10T04:06:32+00:00</dcterms:modified>
</cp:coreProperties>
</file>

<file path=docProps/custom.xml><?xml version="1.0" encoding="utf-8"?>
<Properties xmlns="http://schemas.openxmlformats.org/officeDocument/2006/custom-properties" xmlns:vt="http://schemas.openxmlformats.org/officeDocument/2006/docPropsVTypes"/>
</file>